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 22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Ing CAMILO A. PATIÑO</w:t>
        <w:tab/>
        <w:tab/>
        <w:t xml:space="preserve">NIVEL :  BACHILLERATO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26  al  29  de Mayo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rFonts w:ascii="Arial" w:cs="Arial" w:eastAsia="Arial" w:hAnsi="Arial"/>
          <w:rtl w:val="0"/>
        </w:rPr>
        <w:t xml:space="preserve">IDENTIFICA Y APLICA COMPRENSIVAMENTE ÁREAS EN DIFERENTES CONTEXTOS.</w:t>
      </w:r>
      <w:r w:rsidDel="00000000" w:rsidR="00000000" w:rsidRPr="00000000">
        <w:rPr>
          <w:rtl w:val="0"/>
        </w:rPr>
      </w:r>
    </w:p>
    <w:tbl>
      <w:tblPr>
        <w:tblStyle w:val="Table1"/>
        <w:tblW w:w="1380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2"/>
        <w:gridCol w:w="974"/>
        <w:gridCol w:w="922"/>
        <w:gridCol w:w="1833"/>
        <w:gridCol w:w="1260"/>
        <w:gridCol w:w="1733"/>
        <w:gridCol w:w="1561"/>
        <w:gridCol w:w="4336"/>
        <w:tblGridChange w:id="0">
          <w:tblGrid>
            <w:gridCol w:w="1182"/>
            <w:gridCol w:w="974"/>
            <w:gridCol w:w="922"/>
            <w:gridCol w:w="1833"/>
            <w:gridCol w:w="1260"/>
            <w:gridCol w:w="1733"/>
            <w:gridCol w:w="1561"/>
            <w:gridCol w:w="4336"/>
          </w:tblGrid>
        </w:tblGridChange>
      </w:tblGrid>
      <w:tr>
        <w:trPr>
          <w:trHeight w:val="367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ENLACE</w:t>
            </w:r>
          </w:p>
        </w:tc>
      </w:tr>
      <w:tr>
        <w:trPr>
          <w:trHeight w:val="1999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ONCE B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04/06/20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GEOMETRIA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pUENTE GEOMÉTRICO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 revisión a la construcción estructural.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VIDEO LLMADA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https://join.skype.com/OHkvnkm6b3Wx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9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ONCE A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05/06/20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GEOMETRIA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pUENTE GEOMÉTRICO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 revisión a la construcción estructural.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VIDEO LLMADA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https://join.skype.com/OHkvnkm6b3Wx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QZ5yH97CEru/UcwG3ORLmWWewg==">AMUW2mUGzWirN7vemsiwbPiuRZ/rFpMRPXFgl16x7lzZC05Z5z1LAWFNZL0pzqXAiSaLgFgYPht+XwvgdIi24ONPxpzSu7K9XImIGK9aBstJaHN6kFN5M6ZsOaaOrrLT+PPBrLhzW5oS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2020-04-25T22:12:00Z</dcterms:created>
  <dc:creator>Toshiba</dc:creator>
</cp:coreProperties>
</file>